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0"/>
        <w:gridCol w:w="3026"/>
      </w:tblGrid>
      <w:tr w:rsidR="001E4C99" w14:paraId="690B0035" w14:textId="77777777">
        <w:tc>
          <w:tcPr>
            <w:tcW w:w="7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3366"/>
            <w:tcMar>
              <w:top w:w="260" w:type="dxa"/>
              <w:left w:w="360" w:type="dxa"/>
              <w:bottom w:w="260" w:type="dxa"/>
              <w:right w:w="140" w:type="dxa"/>
            </w:tcMar>
            <w:vAlign w:val="center"/>
          </w:tcPr>
          <w:p w14:paraId="690B0031" w14:textId="77777777" w:rsidR="001E4C99" w:rsidRDefault="00EE307F">
            <w:pPr>
              <w:spacing w:after="16"/>
            </w:pPr>
            <w:r>
              <w:rPr>
                <w:b/>
                <w:bCs/>
                <w:color w:val="FFFFFF"/>
                <w:sz w:val="32"/>
                <w:szCs w:val="32"/>
              </w:rPr>
              <w:t>OPEN BRIEF</w:t>
            </w:r>
          </w:p>
          <w:p w14:paraId="690B0032" w14:textId="77777777" w:rsidR="001E4C99" w:rsidRDefault="00EE307F">
            <w:r>
              <w:rPr>
                <w:color w:val="AACCEE"/>
                <w:sz w:val="18"/>
                <w:szCs w:val="18"/>
              </w:rPr>
              <w:t>Aan de Vlaamse minister van Onderwijs, Justitie en Werk</w:t>
            </w:r>
          </w:p>
        </w:tc>
        <w:tc>
          <w:tcPr>
            <w:tcW w:w="3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99"/>
            <w:tcMar>
              <w:top w:w="200" w:type="dxa"/>
              <w:left w:w="160" w:type="dxa"/>
              <w:bottom w:w="200" w:type="dxa"/>
              <w:right w:w="280" w:type="dxa"/>
            </w:tcMar>
            <w:vAlign w:val="center"/>
          </w:tcPr>
          <w:p w14:paraId="690B0033" w14:textId="77777777" w:rsidR="001E4C99" w:rsidRDefault="00EE307F">
            <w:pPr>
              <w:spacing w:after="20"/>
              <w:jc w:val="right"/>
            </w:pPr>
            <w:r>
              <w:rPr>
                <w:b/>
                <w:bCs/>
                <w:color w:val="FFFFFF"/>
                <w:sz w:val="16"/>
                <w:szCs w:val="16"/>
              </w:rPr>
              <w:t>Levensbeschouwelijke vakken</w:t>
            </w:r>
          </w:p>
          <w:p w14:paraId="690B0034" w14:textId="77777777" w:rsidR="001E4C99" w:rsidRDefault="00EE307F">
            <w:pPr>
              <w:jc w:val="right"/>
            </w:pPr>
            <w:r>
              <w:rPr>
                <w:color w:val="CCDDEE"/>
                <w:sz w:val="15"/>
                <w:szCs w:val="15"/>
              </w:rPr>
              <w:t>Vlaams onderwijs · 2026</w:t>
            </w:r>
          </w:p>
        </w:tc>
      </w:tr>
    </w:tbl>
    <w:p w14:paraId="690B0036" w14:textId="77777777" w:rsidR="001E4C99" w:rsidRDefault="001E4C99">
      <w:pPr>
        <w:spacing w:before="120" w:after="120"/>
      </w:pP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5346"/>
      </w:tblGrid>
      <w:tr w:rsidR="001E4C99" w14:paraId="690B0040" w14:textId="77777777">
        <w:tc>
          <w:tcPr>
            <w:tcW w:w="5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E0E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690B0037" w14:textId="77777777" w:rsidR="001E4C99" w:rsidRDefault="00EE307F">
            <w:pPr>
              <w:spacing w:after="16"/>
            </w:pPr>
            <w:r>
              <w:rPr>
                <w:b/>
                <w:bCs/>
                <w:color w:val="8B2035"/>
                <w:sz w:val="16"/>
                <w:szCs w:val="16"/>
              </w:rPr>
              <w:t>Van</w:t>
            </w:r>
          </w:p>
          <w:p w14:paraId="690B0038" w14:textId="77777777" w:rsidR="001E4C99" w:rsidRDefault="00EE307F">
            <w:pPr>
              <w:spacing w:after="16"/>
            </w:pPr>
            <w:r>
              <w:rPr>
                <w:b/>
                <w:bCs/>
                <w:color w:val="003366"/>
                <w:sz w:val="19"/>
                <w:szCs w:val="19"/>
              </w:rPr>
              <w:t>[Voornaam Naam]</w:t>
            </w:r>
          </w:p>
          <w:p w14:paraId="690B0039" w14:textId="77777777" w:rsidR="001E4C99" w:rsidRDefault="00EE307F">
            <w:pPr>
              <w:spacing w:after="16"/>
            </w:pPr>
            <w:r>
              <w:rPr>
                <w:sz w:val="18"/>
                <w:szCs w:val="18"/>
              </w:rPr>
              <w:t>Leerkracht levensbeschouwelijke vakken</w:t>
            </w:r>
          </w:p>
          <w:p w14:paraId="690B003A" w14:textId="77777777" w:rsidR="001E4C99" w:rsidRDefault="00EE307F">
            <w:pPr>
              <w:spacing w:after="16"/>
            </w:pPr>
            <w:r>
              <w:rPr>
                <w:color w:val="555555"/>
                <w:sz w:val="17"/>
                <w:szCs w:val="17"/>
              </w:rPr>
              <w:t>[Schoolnaam]  ·  [E-mailadres]</w:t>
            </w:r>
          </w:p>
          <w:p w14:paraId="690B003B" w14:textId="77777777" w:rsidR="001E4C99" w:rsidRDefault="00EE307F">
            <w:r>
              <w:rPr>
                <w:color w:val="555555"/>
                <w:sz w:val="16"/>
                <w:szCs w:val="16"/>
              </w:rPr>
              <w:t>[Gemeente], [datum] 2026</w:t>
            </w:r>
          </w:p>
        </w:tc>
        <w:tc>
          <w:tcPr>
            <w:tcW w:w="53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D6"/>
            <w:tcMar>
              <w:top w:w="160" w:type="dxa"/>
              <w:left w:w="200" w:type="dxa"/>
              <w:bottom w:w="160" w:type="dxa"/>
              <w:right w:w="280" w:type="dxa"/>
            </w:tcMar>
          </w:tcPr>
          <w:p w14:paraId="690B003C" w14:textId="77777777" w:rsidR="001E4C99" w:rsidRDefault="00EE307F">
            <w:pPr>
              <w:spacing w:after="16"/>
            </w:pPr>
            <w:r>
              <w:rPr>
                <w:b/>
                <w:bCs/>
                <w:color w:val="2E75B6"/>
                <w:sz w:val="16"/>
                <w:szCs w:val="16"/>
              </w:rPr>
              <w:t>Aan</w:t>
            </w:r>
          </w:p>
          <w:p w14:paraId="690B003D" w14:textId="77777777" w:rsidR="001E4C99" w:rsidRDefault="00EE307F">
            <w:pPr>
              <w:spacing w:after="16"/>
            </w:pPr>
            <w:r>
              <w:rPr>
                <w:b/>
                <w:bCs/>
                <w:color w:val="003366"/>
                <w:sz w:val="19"/>
                <w:szCs w:val="19"/>
              </w:rPr>
              <w:t xml:space="preserve">Mevrouw </w:t>
            </w:r>
            <w:proofErr w:type="spellStart"/>
            <w:r>
              <w:rPr>
                <w:b/>
                <w:bCs/>
                <w:color w:val="003366"/>
                <w:sz w:val="19"/>
                <w:szCs w:val="19"/>
              </w:rPr>
              <w:t>Zuhal</w:t>
            </w:r>
            <w:proofErr w:type="spellEnd"/>
            <w:r>
              <w:rPr>
                <w:b/>
                <w:bCs/>
                <w:color w:val="003366"/>
                <w:sz w:val="19"/>
                <w:szCs w:val="19"/>
              </w:rPr>
              <w:t xml:space="preserve"> Demir</w:t>
            </w:r>
          </w:p>
          <w:p w14:paraId="690B003E" w14:textId="77777777" w:rsidR="001E4C99" w:rsidRDefault="00EE307F">
            <w:pPr>
              <w:spacing w:after="16"/>
            </w:pPr>
            <w:r>
              <w:rPr>
                <w:sz w:val="18"/>
                <w:szCs w:val="18"/>
              </w:rPr>
              <w:t>Vlaams minister van Onderwijs, Justitie en Werk</w:t>
            </w:r>
          </w:p>
          <w:p w14:paraId="690B003F" w14:textId="77777777" w:rsidR="001E4C99" w:rsidRDefault="00EE307F">
            <w:r>
              <w:rPr>
                <w:color w:val="555555"/>
                <w:sz w:val="17"/>
                <w:szCs w:val="17"/>
              </w:rPr>
              <w:t>Koning Albert II-laan 15 bus 700, 1210 Sint-Joost-ten-Node</w:t>
            </w:r>
          </w:p>
        </w:tc>
      </w:tr>
    </w:tbl>
    <w:p w14:paraId="690B0041" w14:textId="77777777" w:rsidR="001E4C99" w:rsidRDefault="001E4C99">
      <w:pPr>
        <w:spacing w:before="120" w:after="120"/>
      </w:pP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6"/>
      </w:tblGrid>
      <w:tr w:rsidR="001E4C99" w14:paraId="690B0043" w14:textId="77777777">
        <w:tc>
          <w:tcPr>
            <w:tcW w:w="10506" w:type="dxa"/>
            <w:tcBorders>
              <w:top w:val="none" w:sz="0" w:space="0" w:color="FFFFFF"/>
              <w:left w:val="single" w:sz="26" w:space="0" w:color="003366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90B0042" w14:textId="77777777" w:rsidR="001E4C99" w:rsidRDefault="00EE307F">
            <w:pPr>
              <w:spacing w:line="300" w:lineRule="auto"/>
            </w:pPr>
            <w:r>
              <w:rPr>
                <w:b/>
                <w:bCs/>
                <w:color w:val="003366"/>
                <w:sz w:val="18"/>
                <w:szCs w:val="18"/>
              </w:rPr>
              <w:t xml:space="preserve">Betreft: </w:t>
            </w:r>
            <w:r>
              <w:rPr>
                <w:sz w:val="18"/>
                <w:szCs w:val="18"/>
              </w:rPr>
              <w:t>Bezwaar tegen het decreet en de uitvoeringsbesluiten inzake de levensbeschouwelijke vakken</w:t>
            </w:r>
          </w:p>
        </w:tc>
      </w:tr>
    </w:tbl>
    <w:p w14:paraId="690B0044" w14:textId="77777777" w:rsidR="001E4C99" w:rsidRDefault="001E4C99">
      <w:pPr>
        <w:spacing w:before="140" w:after="140"/>
      </w:pPr>
    </w:p>
    <w:p w14:paraId="690B0045" w14:textId="77777777" w:rsidR="001E4C99" w:rsidRDefault="00EE307F">
      <w:pPr>
        <w:spacing w:after="120" w:line="300" w:lineRule="auto"/>
      </w:pPr>
      <w:r>
        <w:rPr>
          <w:b/>
          <w:bCs/>
          <w:sz w:val="18"/>
          <w:szCs w:val="18"/>
        </w:rPr>
        <w:t>Mevrouw de minister,</w:t>
      </w:r>
    </w:p>
    <w:p w14:paraId="57740728" w14:textId="190BE71C" w:rsidR="007A3231" w:rsidRPr="007A3231" w:rsidRDefault="00EE307F" w:rsidP="007A3231">
      <w:pPr>
        <w:spacing w:before="80" w:after="100" w:line="30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Ik schrijf u deze brief als leerkracht levensbeschouwelijke vakken in het Vlaamse onderwijs. Ik sta elke dag voor concrete leerlingen en doe dit met overtuiging en engagement. </w:t>
      </w:r>
      <w:r w:rsidR="007A3231" w:rsidRPr="006606A1">
        <w:rPr>
          <w:sz w:val="18"/>
          <w:szCs w:val="18"/>
        </w:rPr>
        <w:t xml:space="preserve">Al verschillende maanden volg ik het politiek schouwspel van de hervorming van de levensbeschouwelijke vakken met toenemende verbazing en stel ik vast dat er gemakkelijk </w:t>
      </w:r>
      <w:r w:rsidR="007A3231" w:rsidRPr="006606A1">
        <w:rPr>
          <w:b/>
          <w:bCs/>
          <w:sz w:val="18"/>
          <w:szCs w:val="18"/>
        </w:rPr>
        <w:t>over het hoofd van de leerkracht</w:t>
      </w:r>
      <w:r w:rsidR="007A3231" w:rsidRPr="006606A1">
        <w:rPr>
          <w:sz w:val="18"/>
          <w:szCs w:val="18"/>
        </w:rPr>
        <w:t xml:space="preserve"> heen wordt gesproken. Dit is mijn poging om de stem van de leerkracht goed hoorbaar te maken.</w:t>
      </w:r>
      <w:r w:rsidR="007A3231" w:rsidRPr="007A3231">
        <w:rPr>
          <w:sz w:val="18"/>
          <w:szCs w:val="18"/>
        </w:rPr>
        <w:t xml:space="preserve">  </w:t>
      </w:r>
    </w:p>
    <w:p w14:paraId="690B0047" w14:textId="27DDF5C1" w:rsidR="001E4C99" w:rsidRPr="0068387D" w:rsidRDefault="00EE307F">
      <w:pPr>
        <w:spacing w:before="80" w:after="140" w:line="30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 directe aanleiding is </w:t>
      </w:r>
      <w:r w:rsidR="004209C2">
        <w:rPr>
          <w:sz w:val="18"/>
          <w:szCs w:val="18"/>
        </w:rPr>
        <w:t>uw</w:t>
      </w:r>
      <w:r>
        <w:rPr>
          <w:sz w:val="18"/>
          <w:szCs w:val="18"/>
        </w:rPr>
        <w:t xml:space="preserve"> vertaling van het decreet in uitvoeringsbesluiten, principieel goedgekeurd op 20 maart 2026. De officiële titel spreekt voor zichzelf: </w:t>
      </w:r>
      <w:r w:rsidR="006E0ECD">
        <w:rPr>
          <w:sz w:val="18"/>
          <w:szCs w:val="18"/>
        </w:rPr>
        <w:t xml:space="preserve">het gaat </w:t>
      </w:r>
      <w:r>
        <w:rPr>
          <w:sz w:val="18"/>
          <w:szCs w:val="18"/>
        </w:rPr>
        <w:t xml:space="preserve">niet </w:t>
      </w:r>
      <w:r w:rsidR="004209C2">
        <w:rPr>
          <w:sz w:val="18"/>
          <w:szCs w:val="18"/>
        </w:rPr>
        <w:t xml:space="preserve">langer </w:t>
      </w:r>
      <w:r w:rsidR="007A37DE">
        <w:rPr>
          <w:sz w:val="18"/>
          <w:szCs w:val="18"/>
        </w:rPr>
        <w:t xml:space="preserve">over </w:t>
      </w:r>
      <w:r>
        <w:rPr>
          <w:sz w:val="18"/>
          <w:szCs w:val="18"/>
        </w:rPr>
        <w:t xml:space="preserve">"flexibilisering", maar onomwonden </w:t>
      </w:r>
      <w:r w:rsidR="007A37DE">
        <w:rPr>
          <w:sz w:val="18"/>
          <w:szCs w:val="18"/>
        </w:rPr>
        <w:t xml:space="preserve">over </w:t>
      </w:r>
      <w:r>
        <w:rPr>
          <w:sz w:val="18"/>
          <w:szCs w:val="18"/>
        </w:rPr>
        <w:t xml:space="preserve">"besparingen". Als leerkracht zie ik elke dag welke enorme vragen en noden er bij kinderen en jongeren leven inzake zingeving en levensbeschouwing. Er gebeuren in </w:t>
      </w:r>
      <w:r w:rsidR="00B7081F">
        <w:rPr>
          <w:sz w:val="18"/>
          <w:szCs w:val="18"/>
        </w:rPr>
        <w:t>mijn</w:t>
      </w:r>
      <w:r>
        <w:rPr>
          <w:sz w:val="18"/>
          <w:szCs w:val="18"/>
        </w:rPr>
        <w:t xml:space="preserve"> lessen prachtige dingen die nergens anders </w:t>
      </w:r>
      <w:r w:rsidR="006C70B0">
        <w:rPr>
          <w:sz w:val="18"/>
          <w:szCs w:val="18"/>
        </w:rPr>
        <w:t xml:space="preserve">in onderwijs en samenleving </w:t>
      </w:r>
      <w:r w:rsidR="002935C3">
        <w:rPr>
          <w:sz w:val="18"/>
          <w:szCs w:val="18"/>
        </w:rPr>
        <w:t xml:space="preserve">nog </w:t>
      </w:r>
      <w:r>
        <w:rPr>
          <w:sz w:val="18"/>
          <w:szCs w:val="18"/>
        </w:rPr>
        <w:t xml:space="preserve">plaatsvinden. De levensbeschouwelijke vakken zijn een onvervangbaar element van de </w:t>
      </w:r>
      <w:r w:rsidRPr="00C05513">
        <w:rPr>
          <w:b/>
          <w:bCs/>
          <w:sz w:val="18"/>
          <w:szCs w:val="18"/>
        </w:rPr>
        <w:t>integrale vorming van elk kind</w:t>
      </w:r>
      <w:r>
        <w:rPr>
          <w:sz w:val="18"/>
          <w:szCs w:val="18"/>
        </w:rPr>
        <w:t xml:space="preserve"> en elke jongere — geen post op een besparingsbegroting.</w:t>
      </w:r>
    </w:p>
    <w:p w14:paraId="690B0048" w14:textId="64A459C2" w:rsidR="001E4C99" w:rsidRPr="008632F6" w:rsidRDefault="00EE307F">
      <w:pPr>
        <w:spacing w:after="100"/>
        <w:rPr>
          <w:sz w:val="17"/>
          <w:szCs w:val="17"/>
        </w:rPr>
      </w:pPr>
      <w:r w:rsidRPr="008632F6">
        <w:rPr>
          <w:b/>
          <w:bCs/>
          <w:color w:val="003366"/>
          <w:sz w:val="17"/>
          <w:szCs w:val="17"/>
        </w:rPr>
        <w:t xml:space="preserve">Het voorliggende voorstel schiet fundamenteel tekort, ook gemeten aan </w:t>
      </w:r>
      <w:r w:rsidR="00E90A69">
        <w:rPr>
          <w:b/>
          <w:bCs/>
          <w:color w:val="003366"/>
          <w:sz w:val="17"/>
          <w:szCs w:val="17"/>
        </w:rPr>
        <w:t>uw</w:t>
      </w:r>
      <w:r w:rsidRPr="008632F6">
        <w:rPr>
          <w:b/>
          <w:bCs/>
          <w:color w:val="003366"/>
          <w:sz w:val="17"/>
          <w:szCs w:val="17"/>
        </w:rPr>
        <w:t xml:space="preserve"> eigen doelstellingen </w:t>
      </w:r>
      <w:r w:rsidR="00E90A69">
        <w:rPr>
          <w:b/>
          <w:bCs/>
          <w:color w:val="003366"/>
          <w:sz w:val="17"/>
          <w:szCs w:val="17"/>
        </w:rPr>
        <w:t xml:space="preserve">in </w:t>
      </w:r>
      <w:r w:rsidRPr="008632F6">
        <w:rPr>
          <w:b/>
          <w:bCs/>
          <w:color w:val="003366"/>
          <w:sz w:val="17"/>
          <w:szCs w:val="17"/>
        </w:rPr>
        <w:t>het Vlaams regeerakkoord:</w:t>
      </w:r>
    </w:p>
    <w:tbl>
      <w:tblPr>
        <w:tblW w:w="10506" w:type="dxa"/>
        <w:tblCellSpacing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300"/>
        <w:gridCol w:w="7740"/>
      </w:tblGrid>
      <w:tr w:rsidR="001E4C99" w14:paraId="690B004C" w14:textId="77777777">
        <w:trPr>
          <w:tblCellSpacing w:w="0" w:type="dxa"/>
        </w:trPr>
        <w:tc>
          <w:tcPr>
            <w:tcW w:w="48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auto" w:fill="0033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B0049" w14:textId="77777777" w:rsidR="001E4C99" w:rsidRDefault="00EE307F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6E4F0"/>
              <w:right w:val="nil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00" w:type="dxa"/>
            </w:tcMar>
            <w:vAlign w:val="center"/>
          </w:tcPr>
          <w:p w14:paraId="690B004A" w14:textId="77777777" w:rsidR="001E4C99" w:rsidRDefault="00EE307F">
            <w:r>
              <w:rPr>
                <w:b/>
                <w:bCs/>
                <w:color w:val="003366"/>
                <w:sz w:val="17"/>
                <w:szCs w:val="17"/>
              </w:rPr>
              <w:t>Organisatorische chaos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D6E4F0"/>
              <w:right w:val="nil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690B004B" w14:textId="58A22193" w:rsidR="001E4C99" w:rsidRDefault="00EE307F">
            <w:pPr>
              <w:spacing w:line="244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Graadklassen die leerjaren</w:t>
            </w:r>
            <w:r w:rsidR="00460DC6">
              <w:rPr>
                <w:b/>
                <w:bCs/>
                <w:sz w:val="17"/>
                <w:szCs w:val="17"/>
              </w:rPr>
              <w:t xml:space="preserve">, </w:t>
            </w:r>
            <w:r>
              <w:rPr>
                <w:b/>
                <w:bCs/>
                <w:sz w:val="17"/>
                <w:szCs w:val="17"/>
              </w:rPr>
              <w:t>onderwijsvormen</w:t>
            </w:r>
            <w:r w:rsidR="00BB08DF">
              <w:rPr>
                <w:b/>
                <w:bCs/>
                <w:sz w:val="17"/>
                <w:szCs w:val="17"/>
              </w:rPr>
              <w:t>, leerplannen</w:t>
            </w:r>
            <w:r>
              <w:rPr>
                <w:b/>
                <w:bCs/>
                <w:sz w:val="17"/>
                <w:szCs w:val="17"/>
              </w:rPr>
              <w:t xml:space="preserve"> </w:t>
            </w:r>
            <w:r w:rsidR="00460DC6">
              <w:rPr>
                <w:b/>
                <w:bCs/>
                <w:sz w:val="17"/>
                <w:szCs w:val="17"/>
              </w:rPr>
              <w:t xml:space="preserve">en scholen </w:t>
            </w:r>
            <w:r>
              <w:rPr>
                <w:b/>
                <w:bCs/>
                <w:sz w:val="17"/>
                <w:szCs w:val="17"/>
              </w:rPr>
              <w:t>kruisen</w:t>
            </w:r>
            <w:r>
              <w:rPr>
                <w:sz w:val="17"/>
                <w:szCs w:val="17"/>
              </w:rPr>
              <w:t xml:space="preserve">, leerkrachten verspreid over (nog) meer scholen: </w:t>
            </w:r>
            <w:r>
              <w:rPr>
                <w:b/>
                <w:bCs/>
                <w:sz w:val="17"/>
                <w:szCs w:val="17"/>
              </w:rPr>
              <w:t>onbeheersbaar voor directies, onwerkbaar voor leerkrachten</w:t>
            </w:r>
            <w:r>
              <w:rPr>
                <w:sz w:val="17"/>
                <w:szCs w:val="17"/>
              </w:rPr>
              <w:t>. Van vereenvoudiging is geen sprake.</w:t>
            </w:r>
          </w:p>
        </w:tc>
      </w:tr>
      <w:tr w:rsidR="001E4C99" w14:paraId="690B0050" w14:textId="77777777">
        <w:trPr>
          <w:tblCellSpacing w:w="0" w:type="dxa"/>
        </w:trPr>
        <w:tc>
          <w:tcPr>
            <w:tcW w:w="480" w:type="dxa"/>
            <w:tcBorders>
              <w:top w:val="single" w:sz="4" w:space="0" w:color="003366"/>
              <w:left w:val="nil"/>
              <w:bottom w:val="single" w:sz="4" w:space="0" w:color="003366"/>
              <w:right w:val="nil"/>
            </w:tcBorders>
            <w:shd w:val="clear" w:color="auto" w:fill="0033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B004D" w14:textId="77777777" w:rsidR="001E4C99" w:rsidRDefault="00EE307F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2</w:t>
            </w:r>
          </w:p>
        </w:tc>
        <w:tc>
          <w:tcPr>
            <w:tcW w:w="1800" w:type="dxa"/>
            <w:tcBorders>
              <w:top w:val="single" w:sz="4" w:space="0" w:color="FFF8D6"/>
              <w:left w:val="nil"/>
              <w:bottom w:val="single" w:sz="4" w:space="0" w:color="FFF8D6"/>
              <w:right w:val="nil"/>
            </w:tcBorders>
            <w:shd w:val="clear" w:color="auto" w:fill="FFF8D6"/>
            <w:tcMar>
              <w:top w:w="100" w:type="dxa"/>
              <w:left w:w="140" w:type="dxa"/>
              <w:bottom w:w="100" w:type="dxa"/>
              <w:right w:w="100" w:type="dxa"/>
            </w:tcMar>
            <w:vAlign w:val="center"/>
          </w:tcPr>
          <w:p w14:paraId="690B004E" w14:textId="77777777" w:rsidR="001E4C99" w:rsidRDefault="00EE307F">
            <w:r>
              <w:rPr>
                <w:b/>
                <w:bCs/>
                <w:color w:val="003366"/>
                <w:sz w:val="17"/>
                <w:szCs w:val="17"/>
              </w:rPr>
              <w:t>Kwaliteit ondermijnd</w:t>
            </w:r>
          </w:p>
        </w:tc>
        <w:tc>
          <w:tcPr>
            <w:tcW w:w="8226" w:type="dxa"/>
            <w:tcBorders>
              <w:top w:val="single" w:sz="4" w:space="0" w:color="FFF8D6"/>
              <w:left w:val="nil"/>
              <w:bottom w:val="single" w:sz="4" w:space="0" w:color="FFF8D6"/>
              <w:right w:val="nil"/>
            </w:tcBorders>
            <w:shd w:val="clear" w:color="auto" w:fill="FFF8D6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690B004F" w14:textId="1BB79DC1" w:rsidR="001E4C99" w:rsidRDefault="00EE307F">
            <w:pPr>
              <w:spacing w:line="244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Leerlingen met totaal verschillende leerbehoeften</w:t>
            </w:r>
            <w:r>
              <w:rPr>
                <w:sz w:val="17"/>
                <w:szCs w:val="17"/>
              </w:rPr>
              <w:t>, uitstroomfinaliteit en doorstroomfinaliteit ("van latinisten tot garagisten") door elkaar zetten, inspecteurs zonder zicht via het visumsysteem. Pedagogische continuïteit wordt opgeofferd aan schijnefficiëntie</w:t>
            </w:r>
            <w:r w:rsidR="009215FC">
              <w:rPr>
                <w:sz w:val="17"/>
                <w:szCs w:val="17"/>
              </w:rPr>
              <w:t xml:space="preserve"> en een onrealistische timing.</w:t>
            </w:r>
          </w:p>
        </w:tc>
      </w:tr>
      <w:tr w:rsidR="001E4C99" w14:paraId="690B0054" w14:textId="77777777">
        <w:trPr>
          <w:tblCellSpacing w:w="0" w:type="dxa"/>
        </w:trPr>
        <w:tc>
          <w:tcPr>
            <w:tcW w:w="480" w:type="dxa"/>
            <w:tcBorders>
              <w:top w:val="single" w:sz="4" w:space="0" w:color="003366"/>
              <w:left w:val="nil"/>
              <w:bottom w:val="single" w:sz="4" w:space="0" w:color="003366"/>
              <w:right w:val="nil"/>
            </w:tcBorders>
            <w:shd w:val="clear" w:color="auto" w:fill="0033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B0051" w14:textId="77777777" w:rsidR="001E4C99" w:rsidRDefault="00EE307F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D6EFD8"/>
              <w:left w:val="nil"/>
              <w:bottom w:val="single" w:sz="4" w:space="0" w:color="D6EFD8"/>
              <w:right w:val="nil"/>
            </w:tcBorders>
            <w:shd w:val="clear" w:color="auto" w:fill="D6EFD8"/>
            <w:tcMar>
              <w:top w:w="100" w:type="dxa"/>
              <w:left w:w="140" w:type="dxa"/>
              <w:bottom w:w="100" w:type="dxa"/>
              <w:right w:w="100" w:type="dxa"/>
            </w:tcMar>
            <w:vAlign w:val="center"/>
          </w:tcPr>
          <w:p w14:paraId="690B0052" w14:textId="77777777" w:rsidR="001E4C99" w:rsidRDefault="00EE307F">
            <w:r>
              <w:rPr>
                <w:b/>
                <w:bCs/>
                <w:color w:val="003366"/>
                <w:sz w:val="17"/>
                <w:szCs w:val="17"/>
              </w:rPr>
              <w:t xml:space="preserve">Einde aan </w:t>
            </w:r>
            <w:proofErr w:type="spellStart"/>
            <w:r>
              <w:rPr>
                <w:b/>
                <w:bCs/>
                <w:color w:val="003366"/>
                <w:sz w:val="17"/>
                <w:szCs w:val="17"/>
              </w:rPr>
              <w:t>interlevensbeschouwelijk</w:t>
            </w:r>
            <w:proofErr w:type="spellEnd"/>
            <w:r>
              <w:rPr>
                <w:b/>
                <w:bCs/>
                <w:color w:val="003366"/>
                <w:sz w:val="17"/>
                <w:szCs w:val="17"/>
              </w:rPr>
              <w:t xml:space="preserve"> leren</w:t>
            </w:r>
          </w:p>
        </w:tc>
        <w:tc>
          <w:tcPr>
            <w:tcW w:w="8226" w:type="dxa"/>
            <w:tcBorders>
              <w:top w:val="single" w:sz="4" w:space="0" w:color="D6EFD8"/>
              <w:left w:val="nil"/>
              <w:bottom w:val="single" w:sz="4" w:space="0" w:color="D6EFD8"/>
              <w:right w:val="nil"/>
            </w:tcBorders>
            <w:shd w:val="clear" w:color="auto" w:fill="D6EFD8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690B0053" w14:textId="77777777" w:rsidR="001E4C99" w:rsidRDefault="00EE307F">
            <w:pPr>
              <w:spacing w:line="244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De afschaffing van het parallelisme</w:t>
            </w:r>
            <w:r>
              <w:rPr>
                <w:sz w:val="17"/>
                <w:szCs w:val="17"/>
              </w:rPr>
              <w:t xml:space="preserve"> maakt </w:t>
            </w:r>
            <w:proofErr w:type="spellStart"/>
            <w:r>
              <w:rPr>
                <w:sz w:val="17"/>
                <w:szCs w:val="17"/>
              </w:rPr>
              <w:t>interlevensbeschouwelijk</w:t>
            </w:r>
            <w:proofErr w:type="spellEnd"/>
            <w:r>
              <w:rPr>
                <w:sz w:val="17"/>
                <w:szCs w:val="17"/>
              </w:rPr>
              <w:t xml:space="preserve"> leren </w:t>
            </w:r>
            <w:r w:rsidRPr="007302A8">
              <w:rPr>
                <w:i/>
                <w:iCs/>
                <w:sz w:val="17"/>
                <w:szCs w:val="17"/>
              </w:rPr>
              <w:t>de facto</w:t>
            </w:r>
            <w:r>
              <w:rPr>
                <w:sz w:val="17"/>
                <w:szCs w:val="17"/>
              </w:rPr>
              <w:t xml:space="preserve"> onmogelijk. De levensbeschouwingen zullen zich op zichzelf terugplooien — precies nu de samenleving meer nood heeft aan verbinding, in tijden van </w:t>
            </w:r>
            <w:r>
              <w:rPr>
                <w:b/>
                <w:bCs/>
                <w:sz w:val="17"/>
                <w:szCs w:val="17"/>
              </w:rPr>
              <w:t>polarisatie en groeiend extremisme</w:t>
            </w:r>
            <w:r>
              <w:rPr>
                <w:sz w:val="17"/>
                <w:szCs w:val="17"/>
              </w:rPr>
              <w:t>.</w:t>
            </w:r>
          </w:p>
        </w:tc>
      </w:tr>
      <w:tr w:rsidR="001E4C99" w14:paraId="690B0058" w14:textId="77777777">
        <w:trPr>
          <w:tblCellSpacing w:w="0" w:type="dxa"/>
        </w:trPr>
        <w:tc>
          <w:tcPr>
            <w:tcW w:w="480" w:type="dxa"/>
            <w:tcBorders>
              <w:top w:val="single" w:sz="4" w:space="0" w:color="003366"/>
              <w:left w:val="nil"/>
              <w:bottom w:val="single" w:sz="4" w:space="0" w:color="003366"/>
              <w:right w:val="nil"/>
            </w:tcBorders>
            <w:shd w:val="clear" w:color="auto" w:fill="0033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B0055" w14:textId="77777777" w:rsidR="001E4C99" w:rsidRDefault="00EE307F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4</w:t>
            </w:r>
          </w:p>
        </w:tc>
        <w:tc>
          <w:tcPr>
            <w:tcW w:w="1800" w:type="dxa"/>
            <w:tcBorders>
              <w:top w:val="single" w:sz="4" w:space="0" w:color="D6E4F0"/>
              <w:left w:val="nil"/>
              <w:bottom w:val="single" w:sz="4" w:space="0" w:color="D6E4F0"/>
              <w:right w:val="nil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00" w:type="dxa"/>
            </w:tcMar>
            <w:vAlign w:val="center"/>
          </w:tcPr>
          <w:p w14:paraId="690B0056" w14:textId="77777777" w:rsidR="001E4C99" w:rsidRDefault="00EE307F">
            <w:r>
              <w:rPr>
                <w:b/>
                <w:bCs/>
                <w:color w:val="003366"/>
                <w:sz w:val="17"/>
                <w:szCs w:val="17"/>
              </w:rPr>
              <w:t>Toekomst van het beroep</w:t>
            </w:r>
          </w:p>
        </w:tc>
        <w:tc>
          <w:tcPr>
            <w:tcW w:w="8226" w:type="dxa"/>
            <w:tcBorders>
              <w:top w:val="single" w:sz="4" w:space="0" w:color="D6E4F0"/>
              <w:left w:val="nil"/>
              <w:bottom w:val="single" w:sz="4" w:space="0" w:color="D6E4F0"/>
              <w:right w:val="nil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690B0057" w14:textId="4EF9B08E" w:rsidR="001E4C99" w:rsidRDefault="00EE307F">
            <w:pPr>
              <w:spacing w:line="244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Wie overweegt leerkracht levensbeschouw</w:t>
            </w:r>
            <w:r w:rsidR="00574FD5">
              <w:rPr>
                <w:b/>
                <w:bCs/>
                <w:sz w:val="17"/>
                <w:szCs w:val="17"/>
              </w:rPr>
              <w:t>ing</w:t>
            </w:r>
            <w:r>
              <w:rPr>
                <w:b/>
                <w:bCs/>
                <w:sz w:val="17"/>
                <w:szCs w:val="17"/>
              </w:rPr>
              <w:t xml:space="preserve"> te worden</w:t>
            </w:r>
            <w:r>
              <w:rPr>
                <w:sz w:val="17"/>
                <w:szCs w:val="17"/>
              </w:rPr>
              <w:t>, ziet een beroep dat structureel door u wordt uitgehold. De aantrekkingskracht verdwijnt op het moment dat ze het meest nodig is.</w:t>
            </w:r>
          </w:p>
        </w:tc>
      </w:tr>
      <w:tr w:rsidR="001E4C99" w14:paraId="690B005C" w14:textId="77777777">
        <w:trPr>
          <w:tblCellSpacing w:w="0" w:type="dxa"/>
        </w:trPr>
        <w:tc>
          <w:tcPr>
            <w:tcW w:w="480" w:type="dxa"/>
            <w:tcBorders>
              <w:top w:val="single" w:sz="4" w:space="0" w:color="003366"/>
              <w:left w:val="nil"/>
              <w:bottom w:val="single" w:sz="4" w:space="0" w:color="003366"/>
              <w:right w:val="nil"/>
            </w:tcBorders>
            <w:shd w:val="clear" w:color="auto" w:fill="0033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B0059" w14:textId="77777777" w:rsidR="001E4C99" w:rsidRDefault="00EE307F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5</w:t>
            </w:r>
          </w:p>
        </w:tc>
        <w:tc>
          <w:tcPr>
            <w:tcW w:w="1800" w:type="dxa"/>
            <w:tcBorders>
              <w:top w:val="single" w:sz="4" w:space="0" w:color="FFF8D6"/>
              <w:left w:val="nil"/>
              <w:bottom w:val="single" w:sz="4" w:space="0" w:color="FFF8D6"/>
              <w:right w:val="nil"/>
            </w:tcBorders>
            <w:shd w:val="clear" w:color="auto" w:fill="FFF8D6"/>
            <w:tcMar>
              <w:top w:w="100" w:type="dxa"/>
              <w:left w:w="140" w:type="dxa"/>
              <w:bottom w:w="100" w:type="dxa"/>
              <w:right w:w="100" w:type="dxa"/>
            </w:tcMar>
            <w:vAlign w:val="center"/>
          </w:tcPr>
          <w:p w14:paraId="690B005A" w14:textId="77777777" w:rsidR="001E4C99" w:rsidRDefault="00EE307F">
            <w:r>
              <w:rPr>
                <w:b/>
                <w:bCs/>
                <w:color w:val="003366"/>
                <w:sz w:val="17"/>
                <w:szCs w:val="17"/>
              </w:rPr>
              <w:t>Nul draagvlak</w:t>
            </w:r>
          </w:p>
        </w:tc>
        <w:tc>
          <w:tcPr>
            <w:tcW w:w="8226" w:type="dxa"/>
            <w:tcBorders>
              <w:top w:val="single" w:sz="4" w:space="0" w:color="FFF8D6"/>
              <w:left w:val="nil"/>
              <w:bottom w:val="single" w:sz="4" w:space="0" w:color="FFF8D6"/>
              <w:right w:val="nil"/>
            </w:tcBorders>
            <w:shd w:val="clear" w:color="auto" w:fill="FFF8D6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690B005B" w14:textId="5B23E226" w:rsidR="001E4C99" w:rsidRDefault="00EE307F">
            <w:pPr>
              <w:spacing w:line="244" w:lineRule="auto"/>
              <w:jc w:val="both"/>
            </w:pPr>
            <w:r>
              <w:rPr>
                <w:b/>
                <w:bCs/>
                <w:sz w:val="17"/>
                <w:szCs w:val="17"/>
              </w:rPr>
              <w:t xml:space="preserve">Geen </w:t>
            </w:r>
            <w:r w:rsidR="00FD474C">
              <w:rPr>
                <w:b/>
                <w:bCs/>
                <w:sz w:val="17"/>
                <w:szCs w:val="17"/>
              </w:rPr>
              <w:t xml:space="preserve">enkele </w:t>
            </w:r>
            <w:r>
              <w:rPr>
                <w:b/>
                <w:bCs/>
                <w:sz w:val="17"/>
                <w:szCs w:val="17"/>
              </w:rPr>
              <w:t xml:space="preserve">onderwijsverstrekker, geen </w:t>
            </w:r>
            <w:r w:rsidR="00FD474C">
              <w:rPr>
                <w:b/>
                <w:bCs/>
                <w:sz w:val="17"/>
                <w:szCs w:val="17"/>
              </w:rPr>
              <w:t xml:space="preserve">enkele </w:t>
            </w:r>
            <w:r>
              <w:rPr>
                <w:b/>
                <w:bCs/>
                <w:sz w:val="17"/>
                <w:szCs w:val="17"/>
              </w:rPr>
              <w:t xml:space="preserve">vakbond, geen </w:t>
            </w:r>
            <w:r w:rsidR="00FD474C">
              <w:rPr>
                <w:b/>
                <w:bCs/>
                <w:sz w:val="17"/>
                <w:szCs w:val="17"/>
              </w:rPr>
              <w:t xml:space="preserve">enkele </w:t>
            </w:r>
            <w:r>
              <w:rPr>
                <w:b/>
                <w:bCs/>
                <w:sz w:val="17"/>
                <w:szCs w:val="17"/>
              </w:rPr>
              <w:t>erkende instantie, geen leerkracht</w:t>
            </w:r>
            <w:r>
              <w:rPr>
                <w:sz w:val="17"/>
                <w:szCs w:val="17"/>
              </w:rPr>
              <w:t xml:space="preserve"> steunt </w:t>
            </w:r>
            <w:r w:rsidR="00FD474C">
              <w:rPr>
                <w:sz w:val="17"/>
                <w:szCs w:val="17"/>
              </w:rPr>
              <w:t>uw</w:t>
            </w:r>
            <w:r>
              <w:rPr>
                <w:sz w:val="17"/>
                <w:szCs w:val="17"/>
              </w:rPr>
              <w:t xml:space="preserve"> voorstel. Een hervorming zonder gedragen overleg mist de legitimiteit voor duurzame verandering.</w:t>
            </w:r>
          </w:p>
        </w:tc>
      </w:tr>
      <w:tr w:rsidR="001E4C99" w14:paraId="690B0060" w14:textId="77777777">
        <w:trPr>
          <w:tblCellSpacing w:w="0" w:type="dxa"/>
        </w:trPr>
        <w:tc>
          <w:tcPr>
            <w:tcW w:w="480" w:type="dxa"/>
            <w:tcBorders>
              <w:top w:val="single" w:sz="4" w:space="0" w:color="003366"/>
              <w:left w:val="nil"/>
              <w:bottom w:val="nil"/>
              <w:right w:val="nil"/>
            </w:tcBorders>
            <w:shd w:val="clear" w:color="auto" w:fill="0033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B005D" w14:textId="77777777" w:rsidR="001E4C99" w:rsidRDefault="00EE307F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6</w:t>
            </w:r>
          </w:p>
        </w:tc>
        <w:tc>
          <w:tcPr>
            <w:tcW w:w="1800" w:type="dxa"/>
            <w:tcBorders>
              <w:top w:val="single" w:sz="4" w:space="0" w:color="D6EFD8"/>
              <w:left w:val="nil"/>
              <w:bottom w:val="nil"/>
              <w:right w:val="nil"/>
            </w:tcBorders>
            <w:shd w:val="clear" w:color="auto" w:fill="D6EFD8"/>
            <w:tcMar>
              <w:top w:w="100" w:type="dxa"/>
              <w:left w:w="140" w:type="dxa"/>
              <w:bottom w:w="100" w:type="dxa"/>
              <w:right w:w="100" w:type="dxa"/>
            </w:tcMar>
            <w:vAlign w:val="center"/>
          </w:tcPr>
          <w:p w14:paraId="690B005E" w14:textId="77777777" w:rsidR="001E4C99" w:rsidRDefault="00EE307F">
            <w:r>
              <w:rPr>
                <w:b/>
                <w:bCs/>
                <w:color w:val="003366"/>
                <w:sz w:val="17"/>
                <w:szCs w:val="17"/>
              </w:rPr>
              <w:t>Grondwettelijke bezwaren</w:t>
            </w:r>
          </w:p>
        </w:tc>
        <w:tc>
          <w:tcPr>
            <w:tcW w:w="8226" w:type="dxa"/>
            <w:tcBorders>
              <w:top w:val="single" w:sz="4" w:space="0" w:color="D6EFD8"/>
              <w:left w:val="nil"/>
              <w:bottom w:val="nil"/>
              <w:right w:val="nil"/>
            </w:tcBorders>
            <w:shd w:val="clear" w:color="auto" w:fill="D6EFD8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690B005F" w14:textId="3FD1939C" w:rsidR="001E4C99" w:rsidRDefault="00EE307F">
            <w:pPr>
              <w:spacing w:line="244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De splitsingsnormen treffen de verschillende koepels en de verschillende levensbeschouwingen disproportioneel</w:t>
            </w:r>
            <w:r>
              <w:rPr>
                <w:sz w:val="17"/>
                <w:szCs w:val="17"/>
              </w:rPr>
              <w:t xml:space="preserve">. Als de vrije keuze van ouders </w:t>
            </w:r>
            <w:r w:rsidRPr="00C15D0F">
              <w:rPr>
                <w:i/>
                <w:iCs/>
                <w:sz w:val="17"/>
                <w:szCs w:val="17"/>
              </w:rPr>
              <w:t>de facto</w:t>
            </w:r>
            <w:r>
              <w:rPr>
                <w:sz w:val="17"/>
                <w:szCs w:val="17"/>
              </w:rPr>
              <w:t xml:space="preserve"> niet meer gegarandeerd kan worden, </w:t>
            </w:r>
            <w:r w:rsidR="0085543C">
              <w:rPr>
                <w:sz w:val="17"/>
                <w:szCs w:val="17"/>
              </w:rPr>
              <w:t xml:space="preserve">en dat blijkt zo te zijn, </w:t>
            </w:r>
            <w:r>
              <w:rPr>
                <w:sz w:val="17"/>
                <w:szCs w:val="17"/>
              </w:rPr>
              <w:t xml:space="preserve">staat de weg naar het </w:t>
            </w:r>
            <w:r>
              <w:rPr>
                <w:b/>
                <w:bCs/>
                <w:sz w:val="17"/>
                <w:szCs w:val="17"/>
              </w:rPr>
              <w:t>Grondwettelijk Hof</w:t>
            </w:r>
            <w:r>
              <w:rPr>
                <w:sz w:val="17"/>
                <w:szCs w:val="17"/>
              </w:rPr>
              <w:t xml:space="preserve"> open.</w:t>
            </w:r>
          </w:p>
        </w:tc>
      </w:tr>
    </w:tbl>
    <w:p w14:paraId="35BD1B85" w14:textId="77777777" w:rsidR="000774A9" w:rsidRDefault="000774A9">
      <w:pPr>
        <w:spacing w:before="80" w:after="140" w:line="300" w:lineRule="auto"/>
        <w:jc w:val="both"/>
        <w:rPr>
          <w:sz w:val="18"/>
          <w:szCs w:val="18"/>
        </w:rPr>
      </w:pPr>
    </w:p>
    <w:p w14:paraId="690B0062" w14:textId="7D771DA7" w:rsidR="001E4C99" w:rsidRDefault="00EE307F">
      <w:pPr>
        <w:spacing w:before="80" w:after="140" w:line="300" w:lineRule="auto"/>
        <w:jc w:val="both"/>
      </w:pPr>
      <w:r>
        <w:rPr>
          <w:sz w:val="18"/>
          <w:szCs w:val="18"/>
        </w:rPr>
        <w:t xml:space="preserve">Ik wacht samen met u gespannen op het advies van de Raad van State. Dit politiek voorstel heeft geen draagvlak — niet juridisch, niet pedagogisch, niet didactisch, </w:t>
      </w:r>
      <w:r w:rsidR="00AC774F">
        <w:rPr>
          <w:sz w:val="18"/>
          <w:szCs w:val="18"/>
        </w:rPr>
        <w:t>niet</w:t>
      </w:r>
      <w:r>
        <w:rPr>
          <w:sz w:val="18"/>
          <w:szCs w:val="18"/>
        </w:rPr>
        <w:t xml:space="preserve"> maatschappelijk. Ik hoop van harte dat u uw ingeslagen weg wilt heroverwegen — niet alleen om niet de geschiedenis in te moeten gaan als de minister die het </w:t>
      </w:r>
      <w:r>
        <w:rPr>
          <w:b/>
          <w:bCs/>
          <w:sz w:val="18"/>
          <w:szCs w:val="18"/>
        </w:rPr>
        <w:t>grootste sociale bloedbad</w:t>
      </w:r>
      <w:r>
        <w:rPr>
          <w:sz w:val="18"/>
          <w:szCs w:val="18"/>
        </w:rPr>
        <w:t xml:space="preserve"> uit de geschiedenis van het Vlaamse onderwijs aanrichtte, maar vooral omwille van de kinderen en jongeren voor wie ik elke dag sta. Ik vraag u dit dringend en ik weet dat u in wezen achter </w:t>
      </w:r>
      <w:r w:rsidR="00492CFC">
        <w:rPr>
          <w:sz w:val="18"/>
          <w:szCs w:val="18"/>
        </w:rPr>
        <w:t>levensbeschouwelijk onderwijs</w:t>
      </w:r>
      <w:r>
        <w:rPr>
          <w:sz w:val="18"/>
          <w:szCs w:val="18"/>
        </w:rPr>
        <w:t xml:space="preserve"> staat </w:t>
      </w:r>
      <w:r w:rsidR="00182CA6">
        <w:rPr>
          <w:sz w:val="18"/>
          <w:szCs w:val="18"/>
        </w:rPr>
        <w:t xml:space="preserve">en </w:t>
      </w:r>
      <w:r>
        <w:rPr>
          <w:sz w:val="18"/>
          <w:szCs w:val="18"/>
        </w:rPr>
        <w:t>begaan</w:t>
      </w:r>
      <w:r w:rsidR="00182CA6">
        <w:rPr>
          <w:sz w:val="18"/>
          <w:szCs w:val="18"/>
        </w:rPr>
        <w:t xml:space="preserve"> bent</w:t>
      </w:r>
      <w:r>
        <w:rPr>
          <w:sz w:val="18"/>
          <w:szCs w:val="18"/>
        </w:rPr>
        <w:t xml:space="preserve"> met het welzijn van </w:t>
      </w:r>
      <w:r w:rsidR="002E304D">
        <w:rPr>
          <w:sz w:val="18"/>
          <w:szCs w:val="18"/>
        </w:rPr>
        <w:t>elk kind</w:t>
      </w:r>
      <w:r w:rsidR="00182CA6">
        <w:rPr>
          <w:sz w:val="18"/>
          <w:szCs w:val="18"/>
        </w:rPr>
        <w:t xml:space="preserve"> en elke jongere.</w:t>
      </w: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6"/>
      </w:tblGrid>
      <w:tr w:rsidR="001E4C99" w14:paraId="690B0064" w14:textId="77777777">
        <w:tc>
          <w:tcPr>
            <w:tcW w:w="10506" w:type="dxa"/>
            <w:tcBorders>
              <w:top w:val="single" w:sz="8" w:space="0" w:color="2E75B6"/>
              <w:left w:val="single" w:sz="26" w:space="0" w:color="003366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8" w:type="dxa"/>
              <w:left w:w="200" w:type="dxa"/>
              <w:bottom w:w="88" w:type="dxa"/>
              <w:right w:w="160" w:type="dxa"/>
            </w:tcMar>
          </w:tcPr>
          <w:p w14:paraId="690B0063" w14:textId="77777777" w:rsidR="001E4C99" w:rsidRDefault="00EE307F">
            <w:r>
              <w:rPr>
                <w:b/>
                <w:bCs/>
                <w:color w:val="003366"/>
                <w:sz w:val="19"/>
                <w:szCs w:val="19"/>
              </w:rPr>
              <w:t xml:space="preserve">Met beleefde groeten  —  </w:t>
            </w:r>
            <w:r>
              <w:rPr>
                <w:sz w:val="17"/>
                <w:szCs w:val="17"/>
              </w:rPr>
              <w:t>[Voornaam Naam]  ·  Leerkracht levensbeschouwelijke vakken  ·  [Schoolnaam]</w:t>
            </w:r>
          </w:p>
        </w:tc>
      </w:tr>
    </w:tbl>
    <w:p w14:paraId="690B0065" w14:textId="77777777" w:rsidR="00EE307F" w:rsidRDefault="00EE307F" w:rsidP="0068387D"/>
    <w:sectPr w:rsidR="00EE307F">
      <w:pgSz w:w="11906" w:h="16838"/>
      <w:pgMar w:top="850" w:right="700" w:bottom="850" w:left="7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20A07"/>
    <w:multiLevelType w:val="hybridMultilevel"/>
    <w:tmpl w:val="1E90EBA8"/>
    <w:lvl w:ilvl="0" w:tplc="1842EB3A">
      <w:start w:val="1"/>
      <w:numFmt w:val="bullet"/>
      <w:lvlText w:val="●"/>
      <w:lvlJc w:val="left"/>
      <w:pPr>
        <w:ind w:left="720" w:hanging="360"/>
      </w:pPr>
    </w:lvl>
    <w:lvl w:ilvl="1" w:tplc="C6AAFD3E">
      <w:start w:val="1"/>
      <w:numFmt w:val="bullet"/>
      <w:lvlText w:val="○"/>
      <w:lvlJc w:val="left"/>
      <w:pPr>
        <w:ind w:left="1440" w:hanging="360"/>
      </w:pPr>
    </w:lvl>
    <w:lvl w:ilvl="2" w:tplc="C1AC62E0">
      <w:start w:val="1"/>
      <w:numFmt w:val="bullet"/>
      <w:lvlText w:val="■"/>
      <w:lvlJc w:val="left"/>
      <w:pPr>
        <w:ind w:left="2160" w:hanging="360"/>
      </w:pPr>
    </w:lvl>
    <w:lvl w:ilvl="3" w:tplc="913A0572">
      <w:start w:val="1"/>
      <w:numFmt w:val="bullet"/>
      <w:lvlText w:val="●"/>
      <w:lvlJc w:val="left"/>
      <w:pPr>
        <w:ind w:left="2880" w:hanging="360"/>
      </w:pPr>
    </w:lvl>
    <w:lvl w:ilvl="4" w:tplc="620AA390">
      <w:start w:val="1"/>
      <w:numFmt w:val="bullet"/>
      <w:lvlText w:val="○"/>
      <w:lvlJc w:val="left"/>
      <w:pPr>
        <w:ind w:left="3600" w:hanging="360"/>
      </w:pPr>
    </w:lvl>
    <w:lvl w:ilvl="5" w:tplc="4BCEA848">
      <w:start w:val="1"/>
      <w:numFmt w:val="bullet"/>
      <w:lvlText w:val="■"/>
      <w:lvlJc w:val="left"/>
      <w:pPr>
        <w:ind w:left="4320" w:hanging="360"/>
      </w:pPr>
    </w:lvl>
    <w:lvl w:ilvl="6" w:tplc="57E43D36">
      <w:start w:val="1"/>
      <w:numFmt w:val="bullet"/>
      <w:lvlText w:val="●"/>
      <w:lvlJc w:val="left"/>
      <w:pPr>
        <w:ind w:left="5040" w:hanging="360"/>
      </w:pPr>
    </w:lvl>
    <w:lvl w:ilvl="7" w:tplc="C91CB77E">
      <w:start w:val="1"/>
      <w:numFmt w:val="bullet"/>
      <w:lvlText w:val="●"/>
      <w:lvlJc w:val="left"/>
      <w:pPr>
        <w:ind w:left="5760" w:hanging="360"/>
      </w:pPr>
    </w:lvl>
    <w:lvl w:ilvl="8" w:tplc="FA2C2328">
      <w:start w:val="1"/>
      <w:numFmt w:val="bullet"/>
      <w:lvlText w:val="●"/>
      <w:lvlJc w:val="left"/>
      <w:pPr>
        <w:ind w:left="6480" w:hanging="360"/>
      </w:pPr>
    </w:lvl>
  </w:abstractNum>
  <w:num w:numId="1" w16cid:durableId="7631146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99"/>
    <w:rsid w:val="000774A9"/>
    <w:rsid w:val="00182CA6"/>
    <w:rsid w:val="001E4C99"/>
    <w:rsid w:val="002935C3"/>
    <w:rsid w:val="002E304D"/>
    <w:rsid w:val="0032769A"/>
    <w:rsid w:val="004209C2"/>
    <w:rsid w:val="00460DC6"/>
    <w:rsid w:val="00492CFC"/>
    <w:rsid w:val="004D5663"/>
    <w:rsid w:val="004E4E09"/>
    <w:rsid w:val="00536F9C"/>
    <w:rsid w:val="00545F56"/>
    <w:rsid w:val="00574FD5"/>
    <w:rsid w:val="006606A1"/>
    <w:rsid w:val="0068387D"/>
    <w:rsid w:val="00685B41"/>
    <w:rsid w:val="006C70B0"/>
    <w:rsid w:val="006E0ECD"/>
    <w:rsid w:val="007302A8"/>
    <w:rsid w:val="007A3231"/>
    <w:rsid w:val="007A37DE"/>
    <w:rsid w:val="0085543C"/>
    <w:rsid w:val="008632F6"/>
    <w:rsid w:val="009215FC"/>
    <w:rsid w:val="00AC774F"/>
    <w:rsid w:val="00B7081F"/>
    <w:rsid w:val="00BB08DF"/>
    <w:rsid w:val="00C05513"/>
    <w:rsid w:val="00C15D0F"/>
    <w:rsid w:val="00E90A69"/>
    <w:rsid w:val="00EE307F"/>
    <w:rsid w:val="00FC46B0"/>
    <w:rsid w:val="00FD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0031"/>
  <w15:docId w15:val="{40EE142B-2AD7-413D-8D03-8D41E5D7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2E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Christophe</cp:lastModifiedBy>
  <cp:revision>6</cp:revision>
  <dcterms:created xsi:type="dcterms:W3CDTF">2026-04-29T09:48:00Z</dcterms:created>
  <dcterms:modified xsi:type="dcterms:W3CDTF">2026-04-29T15:43:00Z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b870c31a-95c0-4a3b-8f65-7e7fee28a32f</vt:lpwstr>
  </property>
</Properties>
</file>